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CB6E1A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177FB3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29488C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667D7E" w:rsidRPr="00667D7E" w:rsidRDefault="00CB6E1A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хутор Джумайловка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D7E" w:rsidRDefault="00191F18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667D7E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667D7E" w:rsidRDefault="000A6D95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667D7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9BE" w:rsidRPr="00667D7E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667D7E" w:rsidRDefault="00667D7E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0F31" w:rsidRPr="00667D7E">
        <w:rPr>
          <w:rFonts w:ascii="Times New Roman" w:hAnsi="Times New Roman" w:cs="Times New Roman"/>
          <w:sz w:val="28"/>
          <w:szCs w:val="28"/>
        </w:rPr>
        <w:t>Утвердить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порядок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</w:t>
      </w:r>
      <w:r w:rsidR="00133A63" w:rsidRPr="00667D7E">
        <w:rPr>
          <w:rFonts w:ascii="Times New Roman" w:hAnsi="Times New Roman" w:cs="Times New Roman"/>
          <w:sz w:val="28"/>
          <w:szCs w:val="28"/>
        </w:rPr>
        <w:t>ламентов предоставления муниципальных услуг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7E7" w:rsidRPr="00726552" w:rsidRDefault="00667D7E" w:rsidP="007265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55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0903DD">
        <w:rPr>
          <w:rFonts w:ascii="Times New Roman" w:hAnsi="Times New Roman" w:cs="Times New Roman"/>
          <w:b w:val="0"/>
          <w:sz w:val="28"/>
          <w:szCs w:val="28"/>
        </w:rPr>
        <w:t>.1</w:t>
      </w:r>
      <w:r w:rsidR="00133A63" w:rsidRPr="00726552">
        <w:rPr>
          <w:rFonts w:ascii="Times New Roman" w:hAnsi="Times New Roman" w:cs="Times New Roman"/>
          <w:b w:val="0"/>
          <w:sz w:val="28"/>
          <w:szCs w:val="28"/>
        </w:rPr>
        <w:t xml:space="preserve"> пункта 1 постановления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Калининского района 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2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2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44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26552">
        <w:rPr>
          <w:rFonts w:ascii="Times New Roman" w:hAnsi="Times New Roman" w:cs="Times New Roman"/>
          <w:b w:val="0"/>
          <w:sz w:val="28"/>
          <w:szCs w:val="28"/>
        </w:rPr>
        <w:t>Калининского района</w:t>
      </w:r>
      <w:r w:rsidR="00A70B02" w:rsidRPr="00726552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735234" w:rsidRPr="000903DD" w:rsidRDefault="00E047E7" w:rsidP="000903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</w:t>
      </w:r>
      <w:r w:rsidR="00CB6E1A">
        <w:rPr>
          <w:rFonts w:ascii="Times New Roman" w:hAnsi="Times New Roman" w:cs="Times New Roman"/>
          <w:sz w:val="28"/>
          <w:szCs w:val="28"/>
        </w:rPr>
        <w:t>нинского района (Бабиева Е.В.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услуг, проведения </w:t>
      </w:r>
      <w:proofErr w:type="gramStart"/>
      <w:r w:rsidR="00EF54F7" w:rsidRPr="00E047E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EF54F7" w:rsidRPr="00E04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 w:rsidR="00CB6E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6E1A">
        <w:rPr>
          <w:rFonts w:ascii="Times New Roman" w:hAnsi="Times New Roman"/>
          <w:sz w:val="28"/>
          <w:szCs w:val="28"/>
        </w:rPr>
        <w:t>Бабиевой</w:t>
      </w:r>
      <w:proofErr w:type="spellEnd"/>
      <w:r w:rsidR="00CB6E1A">
        <w:rPr>
          <w:rFonts w:ascii="Times New Roman" w:hAnsi="Times New Roman"/>
          <w:sz w:val="28"/>
          <w:szCs w:val="28"/>
        </w:rPr>
        <w:t xml:space="preserve"> Е.В.</w:t>
      </w:r>
      <w:r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CB6E1A"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Pr="00735234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декабря 2021 года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>О.И.Горбань</w:t>
      </w: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177FB3" w:rsidRPr="00177FB3" w:rsidRDefault="00177FB3" w:rsidP="00177FB3"/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E51504" w:rsidRPr="00CB6E1A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разработки и утверждения административных регламентов предоставления </w:t>
            </w:r>
          </w:p>
          <w:p w:rsidR="00E51504" w:rsidRPr="00CB6E1A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A">
              <w:rPr>
                <w:rFonts w:ascii="Times New Roman" w:hAnsi="Times New Roman" w:cs="Times New Roman"/>
                <w:sz w:val="28"/>
                <w:szCs w:val="28"/>
              </w:rPr>
              <w:t>муниципальных услуг»</w:t>
            </w:r>
          </w:p>
          <w:p w:rsidR="00E51504" w:rsidRDefault="00E51504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B3" w:rsidRPr="00E51504" w:rsidRDefault="00177FB3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Е.В.Бабиева</w:t>
            </w:r>
            <w:proofErr w:type="spellEnd"/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CB6E1A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Джумайловского </w:t>
      </w:r>
      <w:r w:rsidR="00726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6552"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№ ______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DD4BD3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212"/>
      <w:bookmarkStart w:id="2" w:name="sub_1207"/>
      <w:bookmarkStart w:id="3" w:name="sub_1137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D41" w:rsidRPr="00860B5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Административные регламенты разрабатываются общим отделом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 xml:space="preserve">сельского поселения Калининского района, ответственным за предоставление муниципальной услуги и утверждаются постановлением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района.</w:t>
      </w:r>
    </w:p>
    <w:p w:rsidR="00831D41" w:rsidRP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831D41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органов власти субъекта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831D41" w:rsidRPr="004E19EE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4E19EE">
        <w:rPr>
          <w:rFonts w:ascii="Times New Roman" w:hAnsi="Times New Roman" w:cs="Times New Roman"/>
          <w:sz w:val="28"/>
          <w:szCs w:val="28"/>
        </w:rPr>
        <w:t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4E19EE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  <w:sectPr w:rsidR="00831D41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D4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отдельных государственных полномочий субъекта Российской Федерации, переданных им на основании федеральных или краевых законов с предоставлением субвенций из краевого 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органом исполнительной власти субъекта, если иное не установлено федеральным законом.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осуществляются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ответственным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предоставляющей муниципальные услуги, проведение экспертизы осуществляется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уполномоченным на проведение экспертизы, с использованием программно-технических средств реестра услуг.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831D41" w:rsidRPr="00875F47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внесение в реестр услуг общим отделом администрации</w:t>
      </w:r>
      <w:r w:rsidRPr="00231BEF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ответственным за разработку административных регламентов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1D41" w:rsidRPr="00875F47" w:rsidRDefault="00831D41" w:rsidP="00831D41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F47">
        <w:rPr>
          <w:rFonts w:ascii="Times New Roman" w:hAnsi="Times New Roman" w:cs="Times New Roman"/>
          <w:sz w:val="28"/>
          <w:szCs w:val="28"/>
        </w:rPr>
        <w:t>) преобразование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875F4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hyperlink r:id="rId9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CA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F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F47">
        <w:rPr>
          <w:rFonts w:ascii="Times New Roman" w:hAnsi="Times New Roman" w:cs="Times New Roman"/>
          <w:sz w:val="28"/>
          <w:szCs w:val="28"/>
        </w:rPr>
        <w:t>;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875F47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>услуге, указанные в</w:t>
      </w:r>
      <w:r w:rsidRPr="004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831D41" w:rsidRPr="00537F3C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537F3C" w:rsidRDefault="00831D41" w:rsidP="00831D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F3C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hyperlink r:id="rId11" w:anchor="30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31D41" w:rsidRPr="00442BAA" w:rsidRDefault="00831D41" w:rsidP="00831D41">
      <w:pPr>
        <w:pStyle w:val="affff7"/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31BEF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предусматривае</w:t>
      </w:r>
      <w:r w:rsidRPr="00442BAA">
        <w:rPr>
          <w:rFonts w:ascii="Times New Roman" w:hAnsi="Times New Roman" w:cs="Times New Roman"/>
          <w:sz w:val="28"/>
          <w:szCs w:val="28"/>
        </w:rPr>
        <w:t>т оптимизацию (повышение качества) предоставления услуг, в том числе возможность предоставления муниципальной услуги в упреждающем (</w:t>
      </w:r>
      <w:proofErr w:type="spellStart"/>
      <w:r w:rsidRPr="00442BA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42BAA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</w:t>
      </w:r>
      <w:proofErr w:type="gramEnd"/>
      <w:r w:rsidRPr="00442BA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</w:t>
      </w:r>
      <w:hyperlink r:id="rId12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2BAA">
        <w:rPr>
          <w:rFonts w:ascii="Times New Roman" w:hAnsi="Times New Roman" w:cs="Times New Roman"/>
          <w:sz w:val="28"/>
          <w:szCs w:val="28"/>
        </w:rPr>
        <w:t>.</w:t>
      </w:r>
    </w:p>
    <w:p w:rsidR="00831D41" w:rsidRPr="00442BA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42BAA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831D41" w:rsidRPr="00507E94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5724">
        <w:rPr>
          <w:color w:val="000000"/>
          <w:sz w:val="28"/>
          <w:szCs w:val="28"/>
        </w:rPr>
        <w:t xml:space="preserve">Требования к структуре и содержанию </w:t>
      </w:r>
      <w:proofErr w:type="gramStart"/>
      <w:r w:rsidRPr="009B5724">
        <w:rPr>
          <w:color w:val="000000"/>
          <w:sz w:val="28"/>
          <w:szCs w:val="28"/>
        </w:rPr>
        <w:t>административных</w:t>
      </w:r>
      <w:proofErr w:type="gramEnd"/>
      <w:r w:rsidRPr="009B5724">
        <w:rPr>
          <w:color w:val="000000"/>
          <w:sz w:val="28"/>
          <w:szCs w:val="28"/>
        </w:rPr>
        <w:t xml:space="preserve">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 w:rsidRPr="009B5724">
        <w:rPr>
          <w:color w:val="000000"/>
          <w:sz w:val="28"/>
          <w:szCs w:val="28"/>
        </w:rPr>
        <w:t>регламентов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831D41" w:rsidRPr="003B4F4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EB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6EB0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государственных или муниципальных служащих,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работников.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 «Общие положения»</w:t>
      </w:r>
      <w:r w:rsidRPr="008C6EB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31D41" w:rsidRPr="005C701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Раздел «</w:t>
      </w:r>
      <w:r w:rsidRPr="0047019A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«</w:t>
      </w:r>
      <w:r w:rsidRPr="0047019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865DA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Подраздел «</w:t>
      </w:r>
      <w:r w:rsidRPr="00865DA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 услуги»</w:t>
      </w:r>
      <w:r w:rsidRPr="00865DAE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31D41" w:rsidRPr="00DB5785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Подраздел «</w:t>
      </w:r>
      <w:r w:rsidRPr="00DB578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 услуги»</w:t>
      </w:r>
      <w:r w:rsidRPr="00DB5785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государственной информационной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стеме «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края»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и муниципальных услуг),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предоставляющей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услугу, а та</w:t>
      </w:r>
      <w:r>
        <w:rPr>
          <w:rFonts w:ascii="Times New Roman" w:hAnsi="Times New Roman" w:cs="Times New Roman"/>
          <w:sz w:val="28"/>
          <w:szCs w:val="28"/>
        </w:rPr>
        <w:t>кже 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proofErr w:type="gramEnd"/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831D41" w:rsidRPr="002B6F2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2B6F2B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  <w:r w:rsidRPr="00AE1AC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услуги, и способы ее взимания»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Показатели качест</w:t>
      </w:r>
      <w:r>
        <w:rPr>
          <w:rFonts w:ascii="Times New Roman" w:hAnsi="Times New Roman" w:cs="Times New Roman"/>
          <w:sz w:val="28"/>
          <w:szCs w:val="28"/>
        </w:rPr>
        <w:t xml:space="preserve">ва и доступности муниципальной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подраздел «</w:t>
      </w:r>
      <w:r w:rsidRPr="00A24454">
        <w:rPr>
          <w:rFonts w:ascii="Times New Roman" w:hAnsi="Times New Roman" w:cs="Times New Roman"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4" w:anchor="304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0064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Раздел «</w:t>
      </w:r>
      <w:r w:rsidRPr="00A244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EB55B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Pr="00DB3D77">
        <w:rPr>
          <w:rFonts w:ascii="Times New Roman" w:hAnsi="Times New Roman" w:cs="Times New Roman"/>
          <w:sz w:val="28"/>
          <w:szCs w:val="28"/>
        </w:rPr>
        <w:t>1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05A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05A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5)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участвующий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177FB3" w:rsidRPr="00425CF0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ED6C9C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D6C9C">
        <w:rPr>
          <w:rFonts w:ascii="Times New Roman" w:hAnsi="Times New Roman" w:cs="Times New Roman"/>
          <w:color w:val="FF0000"/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ED6C9C">
        <w:rPr>
          <w:rFonts w:ascii="Times New Roman" w:hAnsi="Times New Roman" w:cs="Times New Roman"/>
          <w:color w:val="FF0000"/>
          <w:sz w:val="28"/>
          <w:szCs w:val="28"/>
        </w:rPr>
        <w:t>проактивном</w:t>
      </w:r>
      <w:proofErr w:type="spellEnd"/>
      <w:r w:rsidRPr="00ED6C9C">
        <w:rPr>
          <w:rFonts w:ascii="Times New Roman" w:hAnsi="Times New Roman" w:cs="Times New Roman"/>
          <w:color w:val="FF0000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</w:t>
      </w:r>
      <w:r w:rsidR="00E954EC">
        <w:rPr>
          <w:rFonts w:ascii="Times New Roman" w:hAnsi="Times New Roman" w:cs="Times New Roman"/>
          <w:color w:val="FF0000"/>
          <w:sz w:val="28"/>
          <w:szCs w:val="28"/>
        </w:rPr>
        <w:t>ии с пунктом 1 части 1 статьи 7</w:t>
      </w:r>
      <w:r w:rsidRPr="00ED6C9C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</w:t>
      </w:r>
      <w:hyperlink r:id="rId15" w:tgtFrame="_blank" w:history="1">
        <w:r w:rsidRPr="00ED6C9C">
          <w:rPr>
            <w:rFonts w:ascii="Times New Roman" w:hAnsi="Times New Roman" w:cs="Times New Roman"/>
            <w:color w:val="FF0000"/>
            <w:sz w:val="28"/>
            <w:szCs w:val="28"/>
          </w:rPr>
          <w:t>от 27 июля 2010 г. № 210-ФЗ</w:t>
        </w:r>
      </w:hyperlink>
      <w:r w:rsidRPr="00ED6C9C">
        <w:rPr>
          <w:color w:val="FF0000"/>
        </w:rPr>
        <w:t xml:space="preserve"> </w:t>
      </w:r>
      <w:r w:rsidRPr="00ED6C9C">
        <w:rPr>
          <w:rFonts w:ascii="Times New Roman" w:hAnsi="Times New Roman" w:cs="Times New Roman"/>
          <w:color w:val="FF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6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831D41" w:rsidRPr="0042563A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7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42563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8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2563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Pr="0042563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831D41" w:rsidRDefault="00831D41" w:rsidP="00831D41">
      <w:pPr>
        <w:pStyle w:val="affff5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31D41" w:rsidRPr="006852E8" w:rsidRDefault="00831D41" w:rsidP="00831D41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432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особенностей, установленных настоящим порядком.</w:t>
      </w:r>
    </w:p>
    <w:p w:rsidR="00831D41" w:rsidRPr="008D27B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sz w:val="28"/>
          <w:szCs w:val="28"/>
        </w:rPr>
        <w:t>Проект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 формируется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52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</w:t>
      </w:r>
      <w:r w:rsidRPr="005224E9">
        <w:rPr>
          <w:rFonts w:ascii="Times New Roman" w:hAnsi="Times New Roman" w:cs="Times New Roman"/>
          <w:sz w:val="28"/>
          <w:szCs w:val="28"/>
        </w:rPr>
        <w:t xml:space="preserve">, </w:t>
      </w:r>
      <w:r w:rsidRPr="008D27B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D27B6">
        <w:rPr>
          <w:rFonts w:ascii="Times New Roman" w:hAnsi="Times New Roman" w:cs="Times New Roman"/>
          <w:sz w:val="28"/>
          <w:szCs w:val="28"/>
        </w:rPr>
        <w:t xml:space="preserve">3.3.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и государственной регистрации акта об утверждении административного регламента: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органу, предоставляющему муниципальные услуги;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3) органу, уполномоченному на проведение экспертизы проекта административного регламента;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4) федеральному органу исполнительной власти, уполномоченному на проведение государственной регистрации актов.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3.4.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проекта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(далее - лист согласования).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2274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</w:t>
      </w:r>
      <w:proofErr w:type="gramStart"/>
      <w:r w:rsidRPr="006227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согласование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3.7. Результатом рассмотрения проекта административного</w:t>
      </w:r>
      <w:r w:rsidRPr="00747667">
        <w:rPr>
          <w:rFonts w:ascii="Times New Roman" w:hAnsi="Times New Roman" w:cs="Times New Roman"/>
          <w:sz w:val="28"/>
          <w:szCs w:val="28"/>
        </w:rPr>
        <w:t xml:space="preserve">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</w:t>
      </w:r>
      <w:r w:rsidRPr="007B21D7">
        <w:rPr>
          <w:rFonts w:ascii="Times New Roman" w:hAnsi="Times New Roman" w:cs="Times New Roman"/>
          <w:sz w:val="28"/>
          <w:szCs w:val="28"/>
        </w:rPr>
        <w:t>приложением к листу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3.8.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ертизы, орган,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</w:rPr>
          <w:t>от 17 июля 2009 г. № 172</w:t>
        </w:r>
        <w:r w:rsidRPr="00CA245C">
          <w:rPr>
            <w:rFonts w:ascii="Times New Roman" w:hAnsi="Times New Roman" w:cs="Times New Roman"/>
            <w:sz w:val="28"/>
            <w:szCs w:val="28"/>
          </w:rPr>
          <w:t>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1D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B21D7">
        <w:rPr>
          <w:rFonts w:ascii="Times New Roman" w:hAnsi="Times New Roman" w:cs="Times New Roman"/>
          <w:sz w:val="28"/>
          <w:szCs w:val="28"/>
        </w:rPr>
        <w:t>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1D7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</w:t>
      </w:r>
      <w:r>
        <w:rPr>
          <w:rFonts w:ascii="Times New Roman" w:hAnsi="Times New Roman" w:cs="Times New Roman"/>
          <w:sz w:val="28"/>
          <w:szCs w:val="28"/>
        </w:rPr>
        <w:t>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</w:t>
      </w:r>
      <w:r>
        <w:rPr>
          <w:rFonts w:ascii="Times New Roman" w:hAnsi="Times New Roman" w:cs="Times New Roman"/>
          <w:sz w:val="28"/>
          <w:szCs w:val="28"/>
        </w:rPr>
        <w:t xml:space="preserve">ния в сведения о муниципальной </w:t>
      </w:r>
      <w:r w:rsidRPr="007B21D7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r:id="rId20" w:anchor="3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пункта 1.5</w:t>
        </w:r>
      </w:hyperlink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административного регламента на повторное</w:t>
      </w:r>
      <w:proofErr w:type="gramEnd"/>
      <w:r w:rsidRPr="007B21D7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</w:t>
      </w:r>
      <w:r w:rsidRPr="00FD010A">
        <w:rPr>
          <w:rFonts w:ascii="Times New Roman" w:hAnsi="Times New Roman" w:cs="Times New Roman"/>
          <w:sz w:val="28"/>
          <w:szCs w:val="28"/>
        </w:rPr>
        <w:t>органам).</w:t>
      </w:r>
    </w:p>
    <w:p w:rsidR="00177FB3" w:rsidRDefault="00831D41" w:rsidP="00CB6E1A">
      <w:pPr>
        <w:rPr>
          <w:rFonts w:ascii="Times New Roman" w:hAnsi="Times New Roman" w:cs="Times New Roman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D010A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FD010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</w:t>
      </w:r>
      <w:proofErr w:type="gramEnd"/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177FB3" w:rsidRDefault="00177FB3" w:rsidP="00CB6E1A">
      <w:pPr>
        <w:rPr>
          <w:rFonts w:ascii="Times New Roman" w:hAnsi="Times New Roman" w:cs="Times New Roman"/>
          <w:sz w:val="28"/>
          <w:szCs w:val="28"/>
        </w:rPr>
      </w:pPr>
    </w:p>
    <w:p w:rsidR="00831D41" w:rsidRPr="00FD010A" w:rsidRDefault="00831D41" w:rsidP="00CB6E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10A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FD010A">
        <w:rPr>
          <w:rFonts w:ascii="Times New Roman" w:hAnsi="Times New Roman" w:cs="Times New Roman"/>
          <w:sz w:val="28"/>
          <w:szCs w:val="28"/>
        </w:rPr>
        <w:t xml:space="preserve">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5C7011">
        <w:rPr>
          <w:rFonts w:ascii="Times New Roman" w:hAnsi="Times New Roman" w:cs="Times New Roman"/>
          <w:sz w:val="24"/>
          <w:szCs w:val="24"/>
        </w:rPr>
        <w:t xml:space="preserve">, </w:t>
      </w:r>
      <w:r w:rsidRPr="00FD010A">
        <w:rPr>
          <w:rFonts w:ascii="Times New Roman" w:hAnsi="Times New Roman" w:cs="Times New Roman"/>
          <w:sz w:val="28"/>
          <w:szCs w:val="28"/>
        </w:rPr>
        <w:t>представленными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 w:rsidRPr="00FD010A">
        <w:rPr>
          <w:rFonts w:ascii="Times New Roman" w:hAnsi="Times New Roman" w:cs="Times New Roman"/>
          <w:sz w:val="28"/>
          <w:szCs w:val="28"/>
        </w:rPr>
        <w:t xml:space="preserve"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911188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911188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1D41" w:rsidRPr="0069160F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инструкцией по делопроизводству, утвержденной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муниципальную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054140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подписью главы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140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 на проведение экспертизы</w:t>
      </w:r>
      <w:r w:rsidRPr="00054140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</w:t>
      </w:r>
      <w:r w:rsidRPr="00054140">
        <w:rPr>
          <w:rFonts w:ascii="Times New Roman" w:hAnsi="Times New Roman" w:cs="Times New Roman"/>
          <w:sz w:val="28"/>
          <w:szCs w:val="28"/>
        </w:rPr>
        <w:t>.</w:t>
      </w:r>
    </w:p>
    <w:p w:rsidR="00CB6E1A" w:rsidRP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432D7F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посредством реестра услуг общим отделом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3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услугой</w:t>
      </w:r>
      <w:r w:rsidRPr="00432D7F">
        <w:rPr>
          <w:rFonts w:ascii="Times New Roman" w:hAnsi="Times New Roman" w:cs="Times New Roman"/>
          <w:sz w:val="28"/>
          <w:szCs w:val="28"/>
        </w:rPr>
        <w:t>, с приложе</w:t>
      </w:r>
      <w:r w:rsidRPr="00831D41">
        <w:rPr>
          <w:rFonts w:ascii="Times New Roman" w:hAnsi="Times New Roman" w:cs="Times New Roman"/>
          <w:sz w:val="28"/>
          <w:szCs w:val="28"/>
        </w:rPr>
        <w:t>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опубликования.</w:t>
      </w:r>
      <w:r w:rsidR="00CB6E1A" w:rsidRPr="00CB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B3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3.15. При наличии оснований для внесения изме</w:t>
      </w:r>
      <w:r w:rsidRPr="00BD15D6">
        <w:rPr>
          <w:rFonts w:ascii="Times New Roman" w:hAnsi="Times New Roman" w:cs="Times New Roman"/>
          <w:sz w:val="28"/>
          <w:szCs w:val="28"/>
        </w:rPr>
        <w:t>нений в административный регламент, а также при возврате (отказе) в государственной регистрации акта об утверждении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BD1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BD15D6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признании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177FB3" w:rsidRDefault="00177FB3" w:rsidP="00CB6E1A">
      <w:pPr>
        <w:rPr>
          <w:rFonts w:ascii="Times New Roman" w:hAnsi="Times New Roman" w:cs="Times New Roman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BD15D6">
        <w:rPr>
          <w:rFonts w:ascii="Times New Roman" w:hAnsi="Times New Roman" w:cs="Times New Roman"/>
          <w:sz w:val="28"/>
          <w:szCs w:val="28"/>
        </w:rPr>
        <w:t>административного регламента утратившим силу и о принятии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BD15D6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6E1A" w:rsidRPr="00442BA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4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экспертизы проектов административных регламентов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BD15D6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6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органом является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D15D6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D6">
        <w:rPr>
          <w:rFonts w:ascii="Times New Roman" w:hAnsi="Times New Roman" w:cs="Times New Roman"/>
          <w:sz w:val="28"/>
          <w:szCs w:val="28"/>
        </w:rPr>
        <w:t xml:space="preserve">) соответствие проектов административных регламентов требованиям </w:t>
      </w:r>
      <w:hyperlink r:id="rId21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2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BD15D6">
        <w:rPr>
          <w:rFonts w:ascii="Times New Roman" w:hAnsi="Times New Roman" w:cs="Times New Roman"/>
          <w:sz w:val="28"/>
          <w:szCs w:val="28"/>
        </w:rPr>
        <w:t>;</w:t>
      </w:r>
    </w:p>
    <w:p w:rsidR="00CB6E1A" w:rsidRPr="003D2957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5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критериев принятия решения требованиям, предусмотренным пунктом 2.11. раздела 2 настоящего порядка;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5D6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42B0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768BD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76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8BD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177FB3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возражениями, представленными органом, </w:t>
      </w:r>
    </w:p>
    <w:p w:rsidR="00177FB3" w:rsidRDefault="00177FB3" w:rsidP="00177F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</w:p>
    <w:p w:rsidR="00177FB3" w:rsidRDefault="00177FB3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предоставляющим</w:t>
      </w:r>
      <w:proofErr w:type="gramEnd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уполномоченный орган проставляет соответствующую отметку в протоколе разногласий.</w:t>
      </w:r>
    </w:p>
    <w:p w:rsidR="00EB28CB" w:rsidRPr="00282169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E254A">
        <w:rPr>
          <w:rFonts w:ascii="Times New Roman" w:hAnsi="Times New Roman" w:cs="Times New Roman"/>
          <w:sz w:val="28"/>
          <w:szCs w:val="28"/>
        </w:rPr>
        <w:t>Разногласия по проекту административного регламента между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1E254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инструкцией по делопроизводству, утвержденной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сельского поселения </w:t>
      </w:r>
    </w:p>
    <w:p w:rsidR="00EB28CB" w:rsidRDefault="00EB28CB" w:rsidP="00EB28CB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О.И.Горбань</w:t>
      </w:r>
    </w:p>
    <w:p w:rsidR="00EB28CB" w:rsidRPr="00831D41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CB6E1A" w:rsidRDefault="00CB6E1A" w:rsidP="00177FB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6E1A" w:rsidSect="00831D41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  <w:sectPr w:rsidR="00831D41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bookmarkEnd w:id="1"/>
    <w:bookmarkEnd w:id="2"/>
    <w:bookmarkEnd w:id="3"/>
    <w:p w:rsidR="00CB6E1A" w:rsidRDefault="00CB6E1A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37" w:rsidRDefault="00193537" w:rsidP="00DF20D8">
      <w:r>
        <w:separator/>
      </w:r>
    </w:p>
  </w:endnote>
  <w:endnote w:type="continuationSeparator" w:id="0">
    <w:p w:rsidR="00193537" w:rsidRDefault="00193537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37" w:rsidRDefault="00193537" w:rsidP="00DF20D8">
      <w:r>
        <w:separator/>
      </w:r>
    </w:p>
  </w:footnote>
  <w:footnote w:type="continuationSeparator" w:id="0">
    <w:p w:rsidR="00193537" w:rsidRDefault="00193537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74800"/>
    <w:rsid w:val="00175F46"/>
    <w:rsid w:val="00177D7F"/>
    <w:rsid w:val="00177FB3"/>
    <w:rsid w:val="00181C47"/>
    <w:rsid w:val="00191F18"/>
    <w:rsid w:val="00193537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9488C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002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0873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408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673A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EC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D6C9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s://www.garant.ru/products/ipo/prime/doc/401435834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1435834/" TargetMode="External"/><Relationship Id="rId20" Type="http://schemas.openxmlformats.org/officeDocument/2006/relationships/hyperlink" Target="https://www.garant.ru/products/ipo/prime/doc/401435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401435834/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s://www.garant.ru/products/ipo/prime/doc/401435834/" TargetMode="External"/><Relationship Id="rId22" Type="http://schemas.openxmlformats.org/officeDocument/2006/relationships/hyperlink" Target="https://www.garant.ru/products/ipo/prime/doc/40143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BEFB-FFC4-4BF9-9279-0E3564F9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44783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2022-01-31T10:36:00Z</cp:lastPrinted>
  <dcterms:created xsi:type="dcterms:W3CDTF">2022-02-01T13:06:00Z</dcterms:created>
  <dcterms:modified xsi:type="dcterms:W3CDTF">2022-02-01T13:06:00Z</dcterms:modified>
</cp:coreProperties>
</file>